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65" w:rsidRDefault="00D60365" w:rsidP="00D60365">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D60365">
        <w:rPr>
          <w:rFonts w:ascii="Georgia" w:eastAsia="Times New Roman" w:hAnsi="Georgia" w:cs="Arial"/>
          <w:color w:val="B92517"/>
          <w:spacing w:val="-5"/>
          <w:kern w:val="36"/>
          <w:sz w:val="36"/>
          <w:szCs w:val="36"/>
          <w:lang w:val="es-ES"/>
        </w:rPr>
        <w:t>C127 - Convenio sobre el peso máximo, 1967 (núm. 127)</w:t>
      </w:r>
    </w:p>
    <w:p w:rsidR="00D60365" w:rsidRPr="00D60365" w:rsidRDefault="00D60365" w:rsidP="00D60365">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D60365" w:rsidRPr="00D60365" w:rsidRDefault="00D60365" w:rsidP="00D60365">
      <w:pPr>
        <w:shd w:val="clear" w:color="auto" w:fill="F3F3F3"/>
        <w:spacing w:after="300" w:line="312" w:lineRule="atLeast"/>
        <w:outlineLvl w:val="2"/>
        <w:rPr>
          <w:rFonts w:ascii="Arial" w:eastAsia="Times New Roman" w:hAnsi="Arial" w:cs="Arial"/>
          <w:b/>
          <w:bCs/>
          <w:i/>
          <w:iCs/>
          <w:color w:val="333333"/>
          <w:sz w:val="25"/>
          <w:szCs w:val="25"/>
          <w:lang w:val="es-ES"/>
        </w:rPr>
      </w:pPr>
      <w:r w:rsidRPr="00D60365">
        <w:rPr>
          <w:rFonts w:ascii="Arial" w:eastAsia="Times New Roman" w:hAnsi="Arial" w:cs="Arial"/>
          <w:b/>
          <w:bCs/>
          <w:i/>
          <w:iCs/>
          <w:color w:val="333333"/>
          <w:sz w:val="25"/>
          <w:szCs w:val="25"/>
          <w:lang w:val="es-ES"/>
        </w:rPr>
        <w:t xml:space="preserve">Convenio relativo al peso máximo de la carga que puede ser transportada por un trabajador (Entrada en vigor: 10 marzo 1970) </w:t>
      </w:r>
      <w:r w:rsidRPr="00D60365">
        <w:rPr>
          <w:rFonts w:ascii="Arial" w:eastAsia="Times New Roman" w:hAnsi="Arial" w:cs="Arial"/>
          <w:b/>
          <w:bCs/>
          <w:i/>
          <w:iCs/>
          <w:color w:val="333333"/>
          <w:sz w:val="20"/>
          <w:szCs w:val="20"/>
          <w:lang w:val="es-ES"/>
        </w:rPr>
        <w:t xml:space="preserve">Adopción: Ginebra, 51ª reunión </w:t>
      </w:r>
      <w:proofErr w:type="spellStart"/>
      <w:r w:rsidRPr="00D60365">
        <w:rPr>
          <w:rFonts w:ascii="Arial" w:eastAsia="Times New Roman" w:hAnsi="Arial" w:cs="Arial"/>
          <w:b/>
          <w:bCs/>
          <w:i/>
          <w:iCs/>
          <w:color w:val="333333"/>
          <w:sz w:val="20"/>
          <w:szCs w:val="20"/>
          <w:lang w:val="es-ES"/>
        </w:rPr>
        <w:t>CIT</w:t>
      </w:r>
      <w:proofErr w:type="spellEnd"/>
      <w:r w:rsidRPr="00D60365">
        <w:rPr>
          <w:rFonts w:ascii="Arial" w:eastAsia="Times New Roman" w:hAnsi="Arial" w:cs="Arial"/>
          <w:b/>
          <w:bCs/>
          <w:i/>
          <w:iCs/>
          <w:color w:val="333333"/>
          <w:sz w:val="20"/>
          <w:szCs w:val="20"/>
          <w:lang w:val="es-ES"/>
        </w:rPr>
        <w:t xml:space="preserve"> (28 junio 1967) - Estatus: Instrumento pendiente de revisión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D60365" w:rsidRPr="00D60365" w:rsidRDefault="00D60365" w:rsidP="00D60365">
      <w:pPr>
        <w:shd w:val="clear" w:color="auto" w:fill="F3F3F3"/>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La Conferencia General de la Organización Internacional del Trabajo:</w:t>
      </w:r>
    </w:p>
    <w:p w:rsidR="00D60365" w:rsidRPr="00D60365" w:rsidRDefault="00D60365" w:rsidP="00D60365">
      <w:pPr>
        <w:shd w:val="clear" w:color="auto" w:fill="F3F3F3"/>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Convocada en Ginebra por el Consejo de Administración de la Oficina Internacional del Trabajo, y congregada en dicha ciudad el 7 junio 1967, en su quincuagésima primera reunión;</w:t>
      </w:r>
    </w:p>
    <w:p w:rsidR="00D60365" w:rsidRPr="00D60365" w:rsidRDefault="00D60365" w:rsidP="00D60365">
      <w:pPr>
        <w:shd w:val="clear" w:color="auto" w:fill="F3F3F3"/>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Después de haber decidido adoptar diversas proposiciones relativas al peso máximo de la carga que puede ser transportada por un trabajador, cuestión que constituye el sexto punto del orden del día de la reunión, y</w:t>
      </w:r>
    </w:p>
    <w:p w:rsidR="00D60365" w:rsidRPr="00D60365" w:rsidRDefault="00D60365" w:rsidP="00D60365">
      <w:pPr>
        <w:shd w:val="clear" w:color="auto" w:fill="F3F3F3"/>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Después de haber decidido que dichas proposiciones revistan la forma de un convenio internacional,</w:t>
      </w:r>
    </w:p>
    <w:p w:rsidR="00D60365" w:rsidRPr="00D60365" w:rsidRDefault="00D60365" w:rsidP="00D60365">
      <w:pPr>
        <w:shd w:val="clear" w:color="auto" w:fill="F3F3F3"/>
        <w:spacing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adopta, con fecha veintiocho de junio de mil novecientos sesenta y siete, el siguiente Convenio, que podrá ser citado como el Convenio sobre el peso máximo, 1967:</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D60365">
        <w:rPr>
          <w:rFonts w:ascii="Georgia" w:eastAsia="Times New Roman" w:hAnsi="Georgia" w:cs="Arial"/>
          <w:b/>
          <w:bCs/>
          <w:i/>
          <w:iCs/>
          <w:color w:val="333333"/>
          <w:sz w:val="21"/>
          <w:szCs w:val="21"/>
          <w:lang w:val="es-ES"/>
        </w:rPr>
        <w:t>Artículo 1</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A los fines del presente Convenio:</w:t>
      </w:r>
    </w:p>
    <w:p w:rsidR="00D60365" w:rsidRPr="00D60365" w:rsidRDefault="00D60365" w:rsidP="009A2077">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 xml:space="preserve">(a) la expresión </w:t>
      </w:r>
      <w:r w:rsidRPr="00D60365">
        <w:rPr>
          <w:rFonts w:ascii="Georgia" w:eastAsia="Times New Roman" w:hAnsi="Georgia" w:cs="Arial"/>
          <w:b/>
          <w:bCs/>
          <w:i/>
          <w:iCs/>
          <w:color w:val="333333"/>
          <w:sz w:val="18"/>
          <w:szCs w:val="18"/>
          <w:lang w:val="es-ES"/>
        </w:rPr>
        <w:t>transporte manual de carga</w:t>
      </w:r>
      <w:r w:rsidRPr="00D60365">
        <w:rPr>
          <w:rFonts w:ascii="Georgia" w:eastAsia="Times New Roman" w:hAnsi="Georgia" w:cs="Arial"/>
          <w:color w:val="333333"/>
          <w:sz w:val="18"/>
          <w:szCs w:val="18"/>
          <w:lang w:val="es-ES"/>
        </w:rPr>
        <w:t xml:space="preserve"> significa todo transporte en que el peso de la carga es totalmente soportado por un trabajador, incluidos el levantamiento y la colocación de la carga;</w:t>
      </w:r>
    </w:p>
    <w:p w:rsidR="00D60365" w:rsidRPr="00D60365" w:rsidRDefault="00D60365" w:rsidP="009A2077">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 xml:space="preserve">(b) la expresión </w:t>
      </w:r>
      <w:r w:rsidRPr="00D60365">
        <w:rPr>
          <w:rFonts w:ascii="Georgia" w:eastAsia="Times New Roman" w:hAnsi="Georgia" w:cs="Arial"/>
          <w:b/>
          <w:bCs/>
          <w:i/>
          <w:iCs/>
          <w:color w:val="333333"/>
          <w:sz w:val="18"/>
          <w:szCs w:val="18"/>
          <w:lang w:val="es-ES"/>
        </w:rPr>
        <w:t>transporte manual y habitual de carga</w:t>
      </w:r>
      <w:r w:rsidRPr="00D60365">
        <w:rPr>
          <w:rFonts w:ascii="Georgia" w:eastAsia="Times New Roman" w:hAnsi="Georgia" w:cs="Arial"/>
          <w:color w:val="333333"/>
          <w:sz w:val="18"/>
          <w:szCs w:val="18"/>
          <w:lang w:val="es-ES"/>
        </w:rPr>
        <w:t xml:space="preserve"> significa toda actividad dedicada de manera continua o esencial al transporte manual de carga o toda actividad que normalmente incluya, aunque sea de manera discontinua, el transporte manual de carga;</w:t>
      </w:r>
    </w:p>
    <w:p w:rsidR="00D60365" w:rsidRPr="00D60365" w:rsidRDefault="00D60365" w:rsidP="009A2077">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 xml:space="preserve">(c) la expresión </w:t>
      </w:r>
      <w:r w:rsidRPr="00D60365">
        <w:rPr>
          <w:rFonts w:ascii="Georgia" w:eastAsia="Times New Roman" w:hAnsi="Georgia" w:cs="Arial"/>
          <w:b/>
          <w:bCs/>
          <w:i/>
          <w:iCs/>
          <w:color w:val="333333"/>
          <w:sz w:val="18"/>
          <w:szCs w:val="18"/>
          <w:lang w:val="es-ES"/>
        </w:rPr>
        <w:t>joven trabajador</w:t>
      </w:r>
      <w:r w:rsidRPr="00D60365">
        <w:rPr>
          <w:rFonts w:ascii="Georgia" w:eastAsia="Times New Roman" w:hAnsi="Georgia" w:cs="Arial"/>
          <w:color w:val="333333"/>
          <w:sz w:val="18"/>
          <w:szCs w:val="18"/>
          <w:lang w:val="es-ES"/>
        </w:rPr>
        <w:t xml:space="preserve"> significa todo trabajador menor de 18 años de edad.</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 w:name="A2"/>
      <w:bookmarkEnd w:id="1"/>
      <w:r w:rsidRPr="00D60365">
        <w:rPr>
          <w:rFonts w:ascii="Georgia" w:eastAsia="Times New Roman" w:hAnsi="Georgia" w:cs="Arial"/>
          <w:b/>
          <w:bCs/>
          <w:i/>
          <w:iCs/>
          <w:color w:val="333333"/>
          <w:sz w:val="21"/>
          <w:szCs w:val="21"/>
          <w:lang w:val="es-ES"/>
        </w:rPr>
        <w:t>Artículo 2</w:t>
      </w:r>
    </w:p>
    <w:p w:rsidR="00D60365" w:rsidRPr="00D60365" w:rsidRDefault="00D60365" w:rsidP="009A2077">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2" w:name="A2P1"/>
      <w:bookmarkEnd w:id="2"/>
      <w:r w:rsidRPr="00D60365">
        <w:rPr>
          <w:rFonts w:ascii="Georgia" w:eastAsia="Times New Roman" w:hAnsi="Georgia" w:cs="Arial"/>
          <w:color w:val="333333"/>
          <w:sz w:val="18"/>
          <w:szCs w:val="18"/>
          <w:lang w:val="es-ES"/>
        </w:rPr>
        <w:t>1. El presente Convenio se aplica al transporte manual y habitual de carga.</w:t>
      </w:r>
    </w:p>
    <w:p w:rsidR="00D60365" w:rsidRPr="00D60365" w:rsidRDefault="00D60365" w:rsidP="009A2077">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3" w:name="A2P2"/>
      <w:bookmarkEnd w:id="3"/>
      <w:r w:rsidRPr="00D60365">
        <w:rPr>
          <w:rFonts w:ascii="Georgia" w:eastAsia="Times New Roman" w:hAnsi="Georgia" w:cs="Arial"/>
          <w:color w:val="333333"/>
          <w:sz w:val="18"/>
          <w:szCs w:val="18"/>
          <w:lang w:val="es-ES"/>
        </w:rPr>
        <w:t>2. El presente Convenio se aplica a todos los sectores de actividad económica para los cuales el Estado Miembro interesado mantenga un sistema de inspección del trabajo.</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3"/>
      <w:bookmarkEnd w:id="4"/>
      <w:r w:rsidRPr="00D60365">
        <w:rPr>
          <w:rFonts w:ascii="Georgia" w:eastAsia="Times New Roman" w:hAnsi="Georgia" w:cs="Arial"/>
          <w:b/>
          <w:bCs/>
          <w:i/>
          <w:iCs/>
          <w:color w:val="333333"/>
          <w:sz w:val="21"/>
          <w:szCs w:val="21"/>
          <w:lang w:val="es-ES"/>
        </w:rPr>
        <w:lastRenderedPageBreak/>
        <w:t>Artículo 3</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No se deberá exigir ni permitir a un trabajador el transporte manual de carga cuyo peso pueda comprometer su salud o su seguridad.</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 w:name="A4"/>
      <w:bookmarkEnd w:id="5"/>
      <w:r w:rsidRPr="00D60365">
        <w:rPr>
          <w:rFonts w:ascii="Georgia" w:eastAsia="Times New Roman" w:hAnsi="Georgia" w:cs="Arial"/>
          <w:b/>
          <w:bCs/>
          <w:i/>
          <w:iCs/>
          <w:color w:val="333333"/>
          <w:sz w:val="21"/>
          <w:szCs w:val="21"/>
          <w:lang w:val="es-ES"/>
        </w:rPr>
        <w:t>Artículo 4</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Para la aplicación del principio enunciado en el artículo 3, los Miembros tendrán en cuenta todas las condiciones en que deba ejecutarse el trabajo.</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 w:name="A5"/>
      <w:bookmarkEnd w:id="6"/>
      <w:r w:rsidRPr="00D60365">
        <w:rPr>
          <w:rFonts w:ascii="Georgia" w:eastAsia="Times New Roman" w:hAnsi="Georgia" w:cs="Arial"/>
          <w:b/>
          <w:bCs/>
          <w:i/>
          <w:iCs/>
          <w:color w:val="333333"/>
          <w:sz w:val="21"/>
          <w:szCs w:val="21"/>
          <w:lang w:val="es-ES"/>
        </w:rPr>
        <w:t>Artículo 5</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Cada Miembro tomará las medidas necesarias para que todo trabajador empleado en el transporte manual de carga que no sea ligera reciba, antes de iniciar esa labor, una formación satisfactoria respecto de los métodos de trabajo que deba utilizar, a fin de proteger su salud y evitar accidentes.</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6"/>
      <w:bookmarkEnd w:id="7"/>
      <w:r w:rsidRPr="00D60365">
        <w:rPr>
          <w:rFonts w:ascii="Georgia" w:eastAsia="Times New Roman" w:hAnsi="Georgia" w:cs="Arial"/>
          <w:b/>
          <w:bCs/>
          <w:i/>
          <w:iCs/>
          <w:color w:val="333333"/>
          <w:sz w:val="21"/>
          <w:szCs w:val="21"/>
          <w:lang w:val="es-ES"/>
        </w:rPr>
        <w:t>Artículo 6</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Para limitar o facilitar el transporte manual de carga se deberán utilizar, en la máxima medida que sea posible, medios técnicos apropiados.</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 w:name="A7"/>
      <w:bookmarkEnd w:id="8"/>
      <w:r w:rsidRPr="00D60365">
        <w:rPr>
          <w:rFonts w:ascii="Georgia" w:eastAsia="Times New Roman" w:hAnsi="Georgia" w:cs="Arial"/>
          <w:b/>
          <w:bCs/>
          <w:i/>
          <w:iCs/>
          <w:color w:val="333333"/>
          <w:sz w:val="21"/>
          <w:szCs w:val="21"/>
          <w:lang w:val="es-ES"/>
        </w:rPr>
        <w:t>Artículo 7</w:t>
      </w:r>
    </w:p>
    <w:p w:rsidR="00D60365" w:rsidRPr="00D60365" w:rsidRDefault="00D60365" w:rsidP="009A2077">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9" w:name="A7P1"/>
      <w:bookmarkEnd w:id="9"/>
      <w:r w:rsidRPr="00D60365">
        <w:rPr>
          <w:rFonts w:ascii="Georgia" w:eastAsia="Times New Roman" w:hAnsi="Georgia" w:cs="Arial"/>
          <w:color w:val="333333"/>
          <w:sz w:val="18"/>
          <w:szCs w:val="18"/>
          <w:lang w:val="es-ES"/>
        </w:rPr>
        <w:t>1. El empleo de mujeres y jóvenes trabajadores en el transporte manual de carga que no sea ligera será limitado.</w:t>
      </w:r>
    </w:p>
    <w:p w:rsidR="00D60365" w:rsidRPr="00D60365" w:rsidRDefault="00D60365" w:rsidP="009A2077">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10" w:name="A7P2"/>
      <w:bookmarkEnd w:id="10"/>
      <w:r w:rsidRPr="00D60365">
        <w:rPr>
          <w:rFonts w:ascii="Georgia" w:eastAsia="Times New Roman" w:hAnsi="Georgia" w:cs="Arial"/>
          <w:color w:val="333333"/>
          <w:sz w:val="18"/>
          <w:szCs w:val="18"/>
          <w:lang w:val="es-ES"/>
        </w:rPr>
        <w:t>2. Cuando se emplee a mujeres y jóvenes trabajadores en el transporte manual de carga, el peso máximo de esta carga deberá ser considerablemente inferior al que se admita para trabajadores adultos de sexo masculino.</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8"/>
      <w:bookmarkEnd w:id="11"/>
      <w:r w:rsidRPr="00D60365">
        <w:rPr>
          <w:rFonts w:ascii="Georgia" w:eastAsia="Times New Roman" w:hAnsi="Georgia" w:cs="Arial"/>
          <w:b/>
          <w:bCs/>
          <w:i/>
          <w:iCs/>
          <w:color w:val="333333"/>
          <w:sz w:val="21"/>
          <w:szCs w:val="21"/>
          <w:lang w:val="es-ES"/>
        </w:rPr>
        <w:t>Artículo 8</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Cada Miembro, en consulta con las organizaciones más representativas de empleadores y de trabajadores interesadas, tomará las medidas necesarias para dar efecto a las disposiciones del presente Convenio, sea por vía legislativa o por cualquier otro método conforme con la práctica y las condiciones nacionales.</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9"/>
      <w:bookmarkEnd w:id="12"/>
      <w:r w:rsidRPr="00D60365">
        <w:rPr>
          <w:rFonts w:ascii="Georgia" w:eastAsia="Times New Roman" w:hAnsi="Georgia" w:cs="Arial"/>
          <w:b/>
          <w:bCs/>
          <w:i/>
          <w:iCs/>
          <w:color w:val="333333"/>
          <w:sz w:val="21"/>
          <w:szCs w:val="21"/>
          <w:lang w:val="es-ES"/>
        </w:rPr>
        <w:t>Artículo 9</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10"/>
      <w:bookmarkEnd w:id="13"/>
      <w:r w:rsidRPr="00D60365">
        <w:rPr>
          <w:rFonts w:ascii="Georgia" w:eastAsia="Times New Roman" w:hAnsi="Georgia" w:cs="Arial"/>
          <w:b/>
          <w:bCs/>
          <w:i/>
          <w:iCs/>
          <w:color w:val="333333"/>
          <w:sz w:val="21"/>
          <w:szCs w:val="21"/>
          <w:lang w:val="es-ES"/>
        </w:rPr>
        <w:t>Artículo 10</w:t>
      </w:r>
    </w:p>
    <w:p w:rsidR="00D60365" w:rsidRPr="00D60365" w:rsidRDefault="00D60365" w:rsidP="009A2077">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4" w:name="A10P1"/>
      <w:bookmarkEnd w:id="14"/>
      <w:r w:rsidRPr="00D60365">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D60365" w:rsidRPr="00D60365" w:rsidRDefault="00D60365" w:rsidP="009A2077">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5" w:name="A10P2"/>
      <w:bookmarkEnd w:id="15"/>
      <w:r w:rsidRPr="00D60365">
        <w:rPr>
          <w:rFonts w:ascii="Georgia" w:eastAsia="Times New Roman" w:hAnsi="Georgia" w:cs="Arial"/>
          <w:color w:val="333333"/>
          <w:sz w:val="18"/>
          <w:szCs w:val="18"/>
          <w:lang w:val="es-ES"/>
        </w:rPr>
        <w:lastRenderedPageBreak/>
        <w:t>2. Entrará en vigor doce meses después de la fecha en que las ratificaciones de dos Miembros hayan sido registradas por el Director General.</w:t>
      </w:r>
    </w:p>
    <w:p w:rsidR="00D60365" w:rsidRPr="00D60365" w:rsidRDefault="00D60365" w:rsidP="009A2077">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6" w:name="A10P3"/>
      <w:bookmarkEnd w:id="16"/>
      <w:r w:rsidRPr="00D60365">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 w:name="A11"/>
      <w:bookmarkEnd w:id="17"/>
      <w:r w:rsidRPr="00D60365">
        <w:rPr>
          <w:rFonts w:ascii="Georgia" w:eastAsia="Times New Roman" w:hAnsi="Georgia" w:cs="Arial"/>
          <w:b/>
          <w:bCs/>
          <w:i/>
          <w:iCs/>
          <w:color w:val="333333"/>
          <w:sz w:val="21"/>
          <w:szCs w:val="21"/>
          <w:lang w:val="es-ES"/>
        </w:rPr>
        <w:t>Artículo 11</w:t>
      </w:r>
    </w:p>
    <w:p w:rsidR="00D60365" w:rsidRPr="00D60365" w:rsidRDefault="00D60365" w:rsidP="009A2077">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8" w:name="A11P1"/>
      <w:bookmarkEnd w:id="18"/>
      <w:r w:rsidRPr="00D60365">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D60365" w:rsidRPr="00D60365" w:rsidRDefault="00D60365" w:rsidP="009A2077">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9" w:name="A11P2"/>
      <w:bookmarkEnd w:id="19"/>
      <w:r w:rsidRPr="00D60365">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2"/>
      <w:bookmarkEnd w:id="20"/>
      <w:r w:rsidRPr="00D60365">
        <w:rPr>
          <w:rFonts w:ascii="Georgia" w:eastAsia="Times New Roman" w:hAnsi="Georgia" w:cs="Arial"/>
          <w:b/>
          <w:bCs/>
          <w:i/>
          <w:iCs/>
          <w:color w:val="333333"/>
          <w:sz w:val="21"/>
          <w:szCs w:val="21"/>
          <w:lang w:val="es-ES"/>
        </w:rPr>
        <w:t>Artículo 12</w:t>
      </w:r>
    </w:p>
    <w:p w:rsidR="00D60365" w:rsidRPr="00D60365" w:rsidRDefault="00D60365" w:rsidP="009A2077">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1" w:name="A12P1"/>
      <w:bookmarkEnd w:id="21"/>
      <w:r w:rsidRPr="00D60365">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D60365" w:rsidRPr="00D60365" w:rsidRDefault="00D60365" w:rsidP="009A2077">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2" w:name="A12P2"/>
      <w:bookmarkEnd w:id="22"/>
      <w:r w:rsidRPr="00D60365">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3"/>
      <w:bookmarkEnd w:id="23"/>
      <w:r w:rsidRPr="00D60365">
        <w:rPr>
          <w:rFonts w:ascii="Georgia" w:eastAsia="Times New Roman" w:hAnsi="Georgia" w:cs="Arial"/>
          <w:b/>
          <w:bCs/>
          <w:i/>
          <w:iCs/>
          <w:color w:val="333333"/>
          <w:sz w:val="21"/>
          <w:szCs w:val="21"/>
          <w:lang w:val="es-ES"/>
        </w:rPr>
        <w:t>Artículo 13</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4"/>
      <w:bookmarkEnd w:id="24"/>
      <w:r w:rsidRPr="00D60365">
        <w:rPr>
          <w:rFonts w:ascii="Georgia" w:eastAsia="Times New Roman" w:hAnsi="Georgia" w:cs="Arial"/>
          <w:b/>
          <w:bCs/>
          <w:i/>
          <w:iCs/>
          <w:color w:val="333333"/>
          <w:sz w:val="21"/>
          <w:szCs w:val="21"/>
          <w:lang w:val="es-ES"/>
        </w:rPr>
        <w:t>Artículo 14</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5" w:name="A15"/>
      <w:bookmarkEnd w:id="25"/>
      <w:r w:rsidRPr="00D60365">
        <w:rPr>
          <w:rFonts w:ascii="Georgia" w:eastAsia="Times New Roman" w:hAnsi="Georgia" w:cs="Arial"/>
          <w:b/>
          <w:bCs/>
          <w:i/>
          <w:iCs/>
          <w:color w:val="333333"/>
          <w:sz w:val="21"/>
          <w:szCs w:val="21"/>
          <w:lang w:val="es-ES"/>
        </w:rPr>
        <w:lastRenderedPageBreak/>
        <w:t>Artículo 15</w:t>
      </w:r>
    </w:p>
    <w:p w:rsidR="00D60365" w:rsidRPr="00D60365" w:rsidRDefault="00D60365" w:rsidP="009A2077">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6" w:name="A15P1"/>
      <w:bookmarkEnd w:id="26"/>
      <w:r w:rsidRPr="00D60365">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D60365" w:rsidRPr="00D60365" w:rsidRDefault="00D60365" w:rsidP="009A2077">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11, siempre que el nuevo convenio revisor haya entrado en vigor;</w:t>
      </w:r>
    </w:p>
    <w:p w:rsidR="00D60365" w:rsidRPr="00D60365" w:rsidRDefault="00D60365" w:rsidP="009A2077">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D60365" w:rsidRPr="00D60365" w:rsidRDefault="00D60365" w:rsidP="009A2077">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7" w:name="A15P2"/>
      <w:bookmarkEnd w:id="27"/>
      <w:r w:rsidRPr="00D60365">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D60365" w:rsidRPr="00D60365" w:rsidRDefault="00D60365" w:rsidP="00D60365">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8" w:name="A16"/>
      <w:bookmarkEnd w:id="28"/>
      <w:r w:rsidRPr="00D60365">
        <w:rPr>
          <w:rFonts w:ascii="Georgia" w:eastAsia="Times New Roman" w:hAnsi="Georgia" w:cs="Arial"/>
          <w:b/>
          <w:bCs/>
          <w:i/>
          <w:iCs/>
          <w:color w:val="333333"/>
          <w:sz w:val="21"/>
          <w:szCs w:val="21"/>
          <w:lang w:val="es-ES"/>
        </w:rPr>
        <w:t>Artículo 16</w:t>
      </w:r>
    </w:p>
    <w:p w:rsidR="00D60365" w:rsidRPr="00D60365" w:rsidRDefault="00D60365" w:rsidP="00D60365">
      <w:pPr>
        <w:shd w:val="clear" w:color="auto" w:fill="FFFFFF"/>
        <w:spacing w:after="240" w:line="408" w:lineRule="atLeast"/>
        <w:rPr>
          <w:rFonts w:ascii="Georgia" w:eastAsia="Times New Roman" w:hAnsi="Georgia" w:cs="Arial"/>
          <w:color w:val="333333"/>
          <w:sz w:val="18"/>
          <w:szCs w:val="18"/>
          <w:lang w:val="es-ES"/>
        </w:rPr>
      </w:pPr>
      <w:r w:rsidRPr="00D60365">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D60365">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77" w:rsidRDefault="009A2077" w:rsidP="00CA3249">
      <w:r>
        <w:separator/>
      </w:r>
    </w:p>
  </w:endnote>
  <w:endnote w:type="continuationSeparator" w:id="0">
    <w:p w:rsidR="009A2077" w:rsidRDefault="009A2077"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77" w:rsidRDefault="009A2077" w:rsidP="00CA3249">
      <w:r>
        <w:separator/>
      </w:r>
    </w:p>
  </w:footnote>
  <w:footnote w:type="continuationSeparator" w:id="0">
    <w:p w:rsidR="009A2077" w:rsidRDefault="009A2077"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A6"/>
    <w:multiLevelType w:val="multilevel"/>
    <w:tmpl w:val="B14E8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5A94"/>
    <w:multiLevelType w:val="multilevel"/>
    <w:tmpl w:val="77C89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06B96"/>
    <w:multiLevelType w:val="multilevel"/>
    <w:tmpl w:val="748E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B18E1"/>
    <w:multiLevelType w:val="multilevel"/>
    <w:tmpl w:val="59E06C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55923"/>
    <w:multiLevelType w:val="multilevel"/>
    <w:tmpl w:val="D8C81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74F61"/>
    <w:multiLevelType w:val="multilevel"/>
    <w:tmpl w:val="EBD6E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52F1B"/>
    <w:multiLevelType w:val="multilevel"/>
    <w:tmpl w:val="D6588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464F7"/>
    <w:rsid w:val="0007618D"/>
    <w:rsid w:val="000E6D2C"/>
    <w:rsid w:val="0010670D"/>
    <w:rsid w:val="001265EA"/>
    <w:rsid w:val="0013435D"/>
    <w:rsid w:val="00151FC7"/>
    <w:rsid w:val="00160052"/>
    <w:rsid w:val="00167CC3"/>
    <w:rsid w:val="00197511"/>
    <w:rsid w:val="001C2497"/>
    <w:rsid w:val="001C3662"/>
    <w:rsid w:val="001C682E"/>
    <w:rsid w:val="001D0886"/>
    <w:rsid w:val="001F6DBE"/>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5E6FF1"/>
    <w:rsid w:val="00604636"/>
    <w:rsid w:val="00661F04"/>
    <w:rsid w:val="006B2FDB"/>
    <w:rsid w:val="006D2694"/>
    <w:rsid w:val="00711926"/>
    <w:rsid w:val="00746A2C"/>
    <w:rsid w:val="00771CDB"/>
    <w:rsid w:val="007C1AAD"/>
    <w:rsid w:val="007E280B"/>
    <w:rsid w:val="00816A42"/>
    <w:rsid w:val="00852CE1"/>
    <w:rsid w:val="00870DF9"/>
    <w:rsid w:val="00871796"/>
    <w:rsid w:val="0087706E"/>
    <w:rsid w:val="008A4095"/>
    <w:rsid w:val="008B427B"/>
    <w:rsid w:val="008F27BB"/>
    <w:rsid w:val="0090587B"/>
    <w:rsid w:val="00961279"/>
    <w:rsid w:val="009668A5"/>
    <w:rsid w:val="00973098"/>
    <w:rsid w:val="00984279"/>
    <w:rsid w:val="009864E0"/>
    <w:rsid w:val="009A2077"/>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01C9-4413-4BE1-A563-A27CE4E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2012-11-27T21:48:00Z</dcterms:created>
  <dcterms:modified xsi:type="dcterms:W3CDTF">2012-11-27T22:46:00Z</dcterms:modified>
</cp:coreProperties>
</file>